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BCF92" w14:textId="582D6ECB" w:rsidR="00042473" w:rsidRDefault="00D45CA8">
      <w:r w:rsidRPr="00D45CA8">
        <w:rPr>
          <w:noProof/>
        </w:rPr>
        <w:drawing>
          <wp:inline distT="0" distB="0" distL="0" distR="0" wp14:anchorId="6ADE8694" wp14:editId="75DDC723">
            <wp:extent cx="5229225" cy="5162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3CEF" w14:textId="206F08F0" w:rsidR="00D45CA8" w:rsidRDefault="00D45CA8">
      <w:r w:rsidRPr="00D45CA8">
        <w:rPr>
          <w:noProof/>
        </w:rPr>
        <w:lastRenderedPageBreak/>
        <w:drawing>
          <wp:inline distT="0" distB="0" distL="0" distR="0" wp14:anchorId="319183A1" wp14:editId="367397C6">
            <wp:extent cx="4314825" cy="6819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CA8">
        <w:rPr>
          <w:noProof/>
        </w:rPr>
        <w:lastRenderedPageBreak/>
        <w:drawing>
          <wp:inline distT="0" distB="0" distL="0" distR="0" wp14:anchorId="675533BC" wp14:editId="40EB5D82">
            <wp:extent cx="5943600" cy="6179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A851" w14:textId="274282AE" w:rsidR="00D45CA8" w:rsidRDefault="00D45CA8">
      <w:r w:rsidRPr="00D45CA8">
        <w:rPr>
          <w:noProof/>
        </w:rPr>
        <w:lastRenderedPageBreak/>
        <w:drawing>
          <wp:inline distT="0" distB="0" distL="0" distR="0" wp14:anchorId="3DA7B217" wp14:editId="6567F0DF">
            <wp:extent cx="4676775" cy="6229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CA8">
        <w:rPr>
          <w:noProof/>
        </w:rPr>
        <w:lastRenderedPageBreak/>
        <w:drawing>
          <wp:inline distT="0" distB="0" distL="0" distR="0" wp14:anchorId="06A9CC71" wp14:editId="3B14C7D1">
            <wp:extent cx="5362575" cy="6886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1A50" w14:textId="1A583A57" w:rsidR="00D45CA8" w:rsidRDefault="00D45CA8">
      <w:r w:rsidRPr="00D45CA8">
        <w:rPr>
          <w:noProof/>
        </w:rPr>
        <w:lastRenderedPageBreak/>
        <w:drawing>
          <wp:inline distT="0" distB="0" distL="0" distR="0" wp14:anchorId="5A9CB96B" wp14:editId="49821FF4">
            <wp:extent cx="5876925" cy="6734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CA8">
        <w:rPr>
          <w:noProof/>
        </w:rPr>
        <w:lastRenderedPageBreak/>
        <w:drawing>
          <wp:inline distT="0" distB="0" distL="0" distR="0" wp14:anchorId="232F249D" wp14:editId="629C7300">
            <wp:extent cx="4914900" cy="7115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CA8">
        <w:rPr>
          <w:noProof/>
        </w:rPr>
        <w:lastRenderedPageBreak/>
        <w:drawing>
          <wp:inline distT="0" distB="0" distL="0" distR="0" wp14:anchorId="26D7EE2B" wp14:editId="44D8C14F">
            <wp:extent cx="4667250" cy="6838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CA8">
        <w:rPr>
          <w:noProof/>
        </w:rPr>
        <w:lastRenderedPageBreak/>
        <w:drawing>
          <wp:inline distT="0" distB="0" distL="0" distR="0" wp14:anchorId="11EEFDFE" wp14:editId="1892A5C9">
            <wp:extent cx="5105400" cy="6410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CA8">
        <w:rPr>
          <w:noProof/>
        </w:rPr>
        <w:lastRenderedPageBreak/>
        <w:drawing>
          <wp:inline distT="0" distB="0" distL="0" distR="0" wp14:anchorId="5628818A" wp14:editId="6AFE78C0">
            <wp:extent cx="4838700" cy="6629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CA8">
        <w:rPr>
          <w:noProof/>
        </w:rPr>
        <w:lastRenderedPageBreak/>
        <w:drawing>
          <wp:inline distT="0" distB="0" distL="0" distR="0" wp14:anchorId="17067E0C" wp14:editId="6F1E41B6">
            <wp:extent cx="5162550" cy="7248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CA8">
        <w:rPr>
          <w:noProof/>
        </w:rPr>
        <w:lastRenderedPageBreak/>
        <w:drawing>
          <wp:inline distT="0" distB="0" distL="0" distR="0" wp14:anchorId="36055058" wp14:editId="04E819D0">
            <wp:extent cx="4686300" cy="3076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DD25" w14:textId="77777777" w:rsidR="00765BF8" w:rsidRPr="00765BF8" w:rsidRDefault="00765BF8" w:rsidP="00765BF8">
      <w:pPr>
        <w:keepNext/>
        <w:keepLines/>
        <w:spacing w:before="120" w:after="0" w:line="240" w:lineRule="auto"/>
        <w:outlineLvl w:val="1"/>
        <w:rPr>
          <w:rFonts w:asciiTheme="majorHAnsi" w:eastAsiaTheme="majorEastAsia" w:hAnsiTheme="majorHAnsi" w:cstheme="majorBidi"/>
          <w:color w:val="ED7D31" w:themeColor="accent2"/>
          <w:sz w:val="36"/>
          <w:szCs w:val="36"/>
        </w:rPr>
      </w:pPr>
      <w:r w:rsidRPr="00765BF8">
        <w:rPr>
          <w:rFonts w:asciiTheme="majorHAnsi" w:eastAsiaTheme="majorEastAsia" w:hAnsiTheme="majorHAnsi" w:cstheme="majorBidi"/>
          <w:color w:val="ED7D31" w:themeColor="accent2"/>
          <w:sz w:val="36"/>
          <w:szCs w:val="36"/>
        </w:rPr>
        <w:t>CONFINED SPACE ENTRY CODE OF PRACTICE</w:t>
      </w:r>
    </w:p>
    <w:p w14:paraId="4093A7C3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 xml:space="preserve">This policy and procedure </w:t>
      </w:r>
      <w:proofErr w:type="gramStart"/>
      <w:r w:rsidRPr="00765BF8">
        <w:rPr>
          <w:rFonts w:eastAsiaTheme="minorEastAsia"/>
          <w:sz w:val="21"/>
          <w:szCs w:val="21"/>
        </w:rPr>
        <w:t>is</w:t>
      </w:r>
      <w:proofErr w:type="gramEnd"/>
      <w:r w:rsidRPr="00765BF8">
        <w:rPr>
          <w:rFonts w:eastAsiaTheme="minorEastAsia"/>
          <w:sz w:val="21"/>
          <w:szCs w:val="21"/>
        </w:rPr>
        <w:t xml:space="preserve"> established to ensure Delta Springs employees and sub-contractors</w:t>
      </w:r>
    </w:p>
    <w:p w14:paraId="7B97BD13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are adequately protected while working in confined spaces. If DELTA SPRINGS employees are</w:t>
      </w:r>
    </w:p>
    <w:p w14:paraId="073D8EEC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required to enter a confined space while contracted by a client who has an existing</w:t>
      </w:r>
    </w:p>
    <w:p w14:paraId="5FA0A18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confined space entry procedure, the procedure of that client will be followed. This policy</w:t>
      </w:r>
    </w:p>
    <w:p w14:paraId="30611E1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and procedure is for low and moderate hazard atmosphere confined spaces. Under no</w:t>
      </w:r>
    </w:p>
    <w:p w14:paraId="18CD4496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situation should DELTA SPRINGS employees enter and work in high hazard atmosphere</w:t>
      </w:r>
    </w:p>
    <w:p w14:paraId="15CCE03F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confined spaces.</w:t>
      </w:r>
    </w:p>
    <w:p w14:paraId="6FC39BB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This confined space entry program is written to safely address commonly encountered</w:t>
      </w:r>
    </w:p>
    <w:p w14:paraId="3E3A8D1C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aspects of confined space entry and to provide guidance on meeting general provincial</w:t>
      </w:r>
    </w:p>
    <w:p w14:paraId="674430E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Health and Safety Legislation. It is stressed that precise safe work requirements for</w:t>
      </w:r>
    </w:p>
    <w:p w14:paraId="3E15F86C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confined space entry will vary with federal or provincial jurisdiction and from one</w:t>
      </w:r>
    </w:p>
    <w:p w14:paraId="6BE81887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situation to the next. Confined Spaces can be found part 5 of Alberta OH&amp;S code.</w:t>
      </w:r>
    </w:p>
    <w:p w14:paraId="4201F651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RESPONSIBILITIES</w:t>
      </w:r>
    </w:p>
    <w:p w14:paraId="60536441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DELTA SPRINGS shall ensure that potential confined spaces are identified and that all confined</w:t>
      </w:r>
    </w:p>
    <w:p w14:paraId="7A3A01DA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 xml:space="preserve">space hazards are eliminated or </w:t>
      </w:r>
      <w:proofErr w:type="gramStart"/>
      <w:r w:rsidRPr="00765BF8">
        <w:rPr>
          <w:rFonts w:eastAsiaTheme="minorEastAsia"/>
          <w:sz w:val="21"/>
          <w:szCs w:val="21"/>
        </w:rPr>
        <w:t>minimized</w:t>
      </w:r>
      <w:proofErr w:type="gramEnd"/>
      <w:r w:rsidRPr="00765BF8">
        <w:rPr>
          <w:rFonts w:eastAsiaTheme="minorEastAsia"/>
          <w:sz w:val="21"/>
          <w:szCs w:val="21"/>
        </w:rPr>
        <w:t xml:space="preserve"> and that work is performed in a safe</w:t>
      </w:r>
    </w:p>
    <w:p w14:paraId="1E660C25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manner. DELTA SPRINGS Management will also review this procedure on an annual basis to</w:t>
      </w:r>
    </w:p>
    <w:p w14:paraId="4BECBC56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lastRenderedPageBreak/>
        <w:t>ensure it is up to date and accurate.</w:t>
      </w:r>
    </w:p>
    <w:p w14:paraId="5402015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Project Managers, Site Superintendents and/or Sub-Contractor Supervisors must</w:t>
      </w:r>
    </w:p>
    <w:p w14:paraId="6BFB299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ensure that a JSA and Hazard Assessment Form are completed with employees, that</w:t>
      </w:r>
    </w:p>
    <w:p w14:paraId="1D7894A0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pre-entry testing and inspection is conducted based on written procedures,</w:t>
      </w:r>
    </w:p>
    <w:p w14:paraId="35EA8C47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precautions identified in this procedure are followed, and only authorized workers</w:t>
      </w:r>
    </w:p>
    <w:p w14:paraId="02144495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enter a confined space.</w:t>
      </w:r>
    </w:p>
    <w:p w14:paraId="5E97B1D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Each person who is assigned duties and responsibilities related to entry into a</w:t>
      </w:r>
    </w:p>
    <w:p w14:paraId="7C8F4BCB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confined space must be adequately trained in the hazards of the space and precautions</w:t>
      </w:r>
    </w:p>
    <w:p w14:paraId="205B99CB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outlined in written work procedures to properly perform their work.</w:t>
      </w:r>
    </w:p>
    <w:p w14:paraId="7527BBB6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DEFINITIONS</w:t>
      </w:r>
    </w:p>
    <w:p w14:paraId="10593373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These definitions are taken from Part 9 –Confined Space – Occupational Health and</w:t>
      </w:r>
    </w:p>
    <w:p w14:paraId="49177FD8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Safety Regulations, WCB, BC.</w:t>
      </w:r>
    </w:p>
    <w:p w14:paraId="25905CBC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Confined Space – means an area, other than an underground working, that (a) is</w:t>
      </w:r>
    </w:p>
    <w:p w14:paraId="2E4254EA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enclosed or partially enclosed, (b) is not designed or intended for continuous human</w:t>
      </w:r>
    </w:p>
    <w:p w14:paraId="41C06CD3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occupancy, (c) has limited or restricted means for entry or exit that may complicate</w:t>
      </w:r>
    </w:p>
    <w:p w14:paraId="0E1BB000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 xml:space="preserve">the provision of first aid, evacuation, </w:t>
      </w:r>
      <w:proofErr w:type="gramStart"/>
      <w:r w:rsidRPr="00765BF8">
        <w:rPr>
          <w:rFonts w:eastAsiaTheme="minorEastAsia"/>
          <w:sz w:val="21"/>
          <w:szCs w:val="21"/>
        </w:rPr>
        <w:t>rescue</w:t>
      </w:r>
      <w:proofErr w:type="gramEnd"/>
      <w:r w:rsidRPr="00765BF8">
        <w:rPr>
          <w:rFonts w:eastAsiaTheme="minorEastAsia"/>
          <w:sz w:val="21"/>
          <w:szCs w:val="21"/>
        </w:rPr>
        <w:t xml:space="preserve"> or other emergency response service, and</w:t>
      </w:r>
    </w:p>
    <w:p w14:paraId="573B9F3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(d) is large enough and so configured that a worker could enter to perform assigned</w:t>
      </w:r>
    </w:p>
    <w:p w14:paraId="2557785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work.</w:t>
      </w:r>
    </w:p>
    <w:p w14:paraId="27B165E6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Low hazard atmosphere – means an atmosphere which is shown by pre-entry testing</w:t>
      </w:r>
    </w:p>
    <w:p w14:paraId="5B9EE16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or otherwise known to contain clean respirable air immediately prior to entry to a</w:t>
      </w:r>
    </w:p>
    <w:p w14:paraId="793AE743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confined space and which is not likely to change during the work activity, as</w:t>
      </w:r>
    </w:p>
    <w:p w14:paraId="63C6FF48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determined by a qualified person after consideration of the design, construction and</w:t>
      </w:r>
    </w:p>
    <w:p w14:paraId="643C566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use of the confined space, the work activities to be performed, and all engineering</w:t>
      </w:r>
    </w:p>
    <w:p w14:paraId="79CC9BAA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controls required.</w:t>
      </w:r>
    </w:p>
    <w:p w14:paraId="397CC391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Moderate hazard atmosphere – means an atmosphere that is not clean respirable air</w:t>
      </w:r>
    </w:p>
    <w:p w14:paraId="0267606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but is not likely to impair the ability of the worker to escape unaided from a confined</w:t>
      </w:r>
    </w:p>
    <w:p w14:paraId="52EB0BC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space, in the event of a failure of the ventilation system or respirator.</w:t>
      </w:r>
    </w:p>
    <w:p w14:paraId="1E2F33B3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High hazard atmosphere – means an atmosphere that may expose a worker to risk of</w:t>
      </w:r>
    </w:p>
    <w:p w14:paraId="13DF2E2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lastRenderedPageBreak/>
        <w:t>death, incapacitation, injury, acute illness or otherwise impair the ability of the</w:t>
      </w:r>
    </w:p>
    <w:p w14:paraId="73FB2725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worker to escape unaided from a confined space, in the event of a failure of the</w:t>
      </w:r>
    </w:p>
    <w:p w14:paraId="0519BC7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ventilation system or respirator.</w:t>
      </w:r>
    </w:p>
    <w:p w14:paraId="4760DF9A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Clean Respirable Air – When used to describe the atmosphere inside a confined</w:t>
      </w:r>
    </w:p>
    <w:p w14:paraId="6A6EE8C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space, means an atmosphere which is equivalent to clean, outdoor air and which</w:t>
      </w:r>
    </w:p>
    <w:p w14:paraId="3BE48E88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contains…(a) about 20.9 % oxygen by volume, (b) no measurable flammable gas or</w:t>
      </w:r>
    </w:p>
    <w:p w14:paraId="4A3CBD6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vapour as determined using a combustible gas measuring instrument, and (c) no air</w:t>
      </w:r>
    </w:p>
    <w:p w14:paraId="173A71D5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contaminant in concentrations exceeding either 10% of its applicable exposure limit</w:t>
      </w:r>
    </w:p>
    <w:p w14:paraId="382DBD50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or an acceptable ambient air standard, whichever is greater.</w:t>
      </w:r>
    </w:p>
    <w:p w14:paraId="4DC48419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CONFINED SPACE ENTRY – WORK PROCEDURES</w:t>
      </w:r>
    </w:p>
    <w:p w14:paraId="070C8B5A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 xml:space="preserve">Where </w:t>
      </w:r>
      <w:proofErr w:type="gramStart"/>
      <w:r w:rsidRPr="00765BF8">
        <w:rPr>
          <w:rFonts w:eastAsiaTheme="minorEastAsia"/>
          <w:sz w:val="21"/>
          <w:szCs w:val="21"/>
        </w:rPr>
        <w:t>reasonable</w:t>
      </w:r>
      <w:proofErr w:type="gramEnd"/>
      <w:r w:rsidRPr="00765BF8">
        <w:rPr>
          <w:rFonts w:eastAsiaTheme="minorEastAsia"/>
          <w:sz w:val="21"/>
          <w:szCs w:val="21"/>
        </w:rPr>
        <w:t xml:space="preserve"> practicable, DELTA SPRINGS will use an alternate means to perform work that will</w:t>
      </w:r>
    </w:p>
    <w:p w14:paraId="074AAE20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not require a worker to enter a hazardous confined space.</w:t>
      </w:r>
    </w:p>
    <w:p w14:paraId="5706BE77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JSA and Risk Assessment – Before work begins in a confined space, the site</w:t>
      </w:r>
    </w:p>
    <w:p w14:paraId="38C5C7F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superintendent/sub-contractor supervisor will complete and review a JSA and Risk</w:t>
      </w:r>
    </w:p>
    <w:p w14:paraId="1694A4A0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Assessment with all employees involved in the project. The potential hazards in the</w:t>
      </w:r>
    </w:p>
    <w:p w14:paraId="5F7C3E7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confined space must be reviewed. This could include atmospheric contaminants,</w:t>
      </w:r>
    </w:p>
    <w:p w14:paraId="3C74C80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poor lighting, electrical hazards, mechanical hazards, and slip/trip/fall hazards.</w:t>
      </w:r>
    </w:p>
    <w:p w14:paraId="672B6161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Pre-entry testing and testing during work activities - Before entry into confined</w:t>
      </w:r>
    </w:p>
    <w:p w14:paraId="0643AB18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spaces with a low/moderate hazard atmosphere, the space must be tested for oxygen</w:t>
      </w:r>
    </w:p>
    <w:p w14:paraId="6D077DE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content and flammable concentration using an atmosphere testing device, commonly</w:t>
      </w:r>
    </w:p>
    <w:p w14:paraId="5376CE81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known as a 4gas monitor. Instrument must contain sensors for oxygen, lower</w:t>
      </w:r>
    </w:p>
    <w:p w14:paraId="0FDD09C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explosive limit (LEL) CO, and hydrogen sulfide. All gas testing records must be</w:t>
      </w:r>
    </w:p>
    <w:p w14:paraId="2DCDB645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posted at the entrance to the space. Completed records should be filed as part of</w:t>
      </w:r>
    </w:p>
    <w:p w14:paraId="47D642C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the project close-out. Continuous testing should be completed by utilizing a</w:t>
      </w:r>
    </w:p>
    <w:p w14:paraId="01CC40E8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multi-gas testing device during the entire period of work, wherever possible. If</w:t>
      </w:r>
    </w:p>
    <w:p w14:paraId="13E2C6BF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not possible, then testing must be completed upon exiting and re-entering the</w:t>
      </w:r>
    </w:p>
    <w:p w14:paraId="7DEF4548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space.</w:t>
      </w:r>
    </w:p>
    <w:p w14:paraId="5F41DF5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Oxygen Content - oxygen concentration must be maintained between 19.5% and</w:t>
      </w:r>
    </w:p>
    <w:p w14:paraId="7D21833C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lastRenderedPageBreak/>
        <w:t>23% by volume. Normal oxygen concentration in air is approximately 21% by</w:t>
      </w:r>
    </w:p>
    <w:p w14:paraId="09B4A051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volume in air with nitrogen comprising almost the remaining 79%.</w:t>
      </w:r>
    </w:p>
    <w:p w14:paraId="7176FF4A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Flammable Gases/Vapours - know the gas/vapour present. The LEL are</w:t>
      </w:r>
    </w:p>
    <w:p w14:paraId="7D2CBF1A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different for each gas/vapour. A concentration above the LEL is explosive.</w:t>
      </w:r>
    </w:p>
    <w:p w14:paraId="38AC4726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Flammable gas/vapour levels must be kept at or below 20% of the LEL. If</w:t>
      </w:r>
    </w:p>
    <w:p w14:paraId="44325CA3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levels get above 20%, then work will cease, workers inside the space will</w:t>
      </w:r>
    </w:p>
    <w:p w14:paraId="5B18BF4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immediately vacate and notify project manager. Work shall not commence in the</w:t>
      </w:r>
    </w:p>
    <w:p w14:paraId="5F6E7CA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space until flammable levels are below 20% of the LEL.</w:t>
      </w:r>
    </w:p>
    <w:p w14:paraId="2CB1E50C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Personal Protective Equipment (PPE) - The working conditions within the</w:t>
      </w:r>
    </w:p>
    <w:p w14:paraId="3FACBBE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confined space will dictate the requirements for personal protective equipment. As</w:t>
      </w:r>
    </w:p>
    <w:p w14:paraId="60B24046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 xml:space="preserve">requirements will vary </w:t>
      </w:r>
      <w:proofErr w:type="gramStart"/>
      <w:r w:rsidRPr="00765BF8">
        <w:rPr>
          <w:rFonts w:eastAsiaTheme="minorEastAsia"/>
          <w:sz w:val="21"/>
          <w:szCs w:val="21"/>
        </w:rPr>
        <w:t>widely,</w:t>
      </w:r>
      <w:proofErr w:type="gramEnd"/>
      <w:r w:rsidRPr="00765BF8">
        <w:rPr>
          <w:rFonts w:eastAsiaTheme="minorEastAsia"/>
          <w:sz w:val="21"/>
          <w:szCs w:val="21"/>
        </w:rPr>
        <w:t xml:space="preserve"> it is best to refer to applicable MSDS's of any</w:t>
      </w:r>
    </w:p>
    <w:p w14:paraId="31589AB7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 xml:space="preserve">chemicals used for appropriate PPE (e.g. gloves, </w:t>
      </w:r>
      <w:proofErr w:type="spellStart"/>
      <w:r w:rsidRPr="00765BF8">
        <w:rPr>
          <w:rFonts w:eastAsiaTheme="minorEastAsia"/>
          <w:sz w:val="21"/>
          <w:szCs w:val="21"/>
        </w:rPr>
        <w:t>monogoggles</w:t>
      </w:r>
      <w:proofErr w:type="spellEnd"/>
      <w:r w:rsidRPr="00765BF8">
        <w:rPr>
          <w:rFonts w:eastAsiaTheme="minorEastAsia"/>
          <w:sz w:val="21"/>
          <w:szCs w:val="21"/>
        </w:rPr>
        <w:t>).</w:t>
      </w:r>
    </w:p>
    <w:p w14:paraId="2F343DCA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Tasks would continue to utilize appropriate PPE for working in non-confined spaces</w:t>
      </w:r>
    </w:p>
    <w:p w14:paraId="02334A06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(i.e. asbestos removal). However, consideration should be given to potential build-up</w:t>
      </w:r>
    </w:p>
    <w:p w14:paraId="04AB8147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of contaminants such as welding fume or solvent vapours. Site Superintendents/</w:t>
      </w:r>
      <w:proofErr w:type="spellStart"/>
      <w:r w:rsidRPr="00765BF8">
        <w:rPr>
          <w:rFonts w:eastAsiaTheme="minorEastAsia"/>
          <w:sz w:val="21"/>
          <w:szCs w:val="21"/>
        </w:rPr>
        <w:t>SubContractor</w:t>
      </w:r>
      <w:proofErr w:type="spellEnd"/>
      <w:r w:rsidRPr="00765BF8">
        <w:rPr>
          <w:rFonts w:eastAsiaTheme="minorEastAsia"/>
          <w:sz w:val="21"/>
          <w:szCs w:val="21"/>
        </w:rPr>
        <w:t xml:space="preserve"> Supervisor may consider the use of local exhaust ventilation to extract the</w:t>
      </w:r>
    </w:p>
    <w:p w14:paraId="428B4402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contaminant at the source.</w:t>
      </w:r>
    </w:p>
    <w:p w14:paraId="73BCC892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If respirators are intended to be used, it is very important that the right respirator for</w:t>
      </w:r>
    </w:p>
    <w:p w14:paraId="2C678160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the job be selected. The DELTA SPRINGS Respiratory Protection Program should be followed.</w:t>
      </w:r>
    </w:p>
    <w:p w14:paraId="19DB0EED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Man Watch – If DELTA SPRINGS employees are required to enter a confined space a man watch</w:t>
      </w:r>
    </w:p>
    <w:p w14:paraId="03D865C7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is required to be at the entrance of the confined space and be able to communicate</w:t>
      </w:r>
    </w:p>
    <w:p w14:paraId="1FC5484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with the worker inside the confined space.</w:t>
      </w:r>
    </w:p>
    <w:p w14:paraId="6E7396F9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• Emergency Procedures and Equipment</w:t>
      </w:r>
    </w:p>
    <w:p w14:paraId="6373C8F7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Access and Egress - The opening of a confined space must be large enough to</w:t>
      </w:r>
    </w:p>
    <w:p w14:paraId="6BF184F8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permit the entry and exit of employees wearing the required PPE and the space</w:t>
      </w:r>
    </w:p>
    <w:p w14:paraId="2B8704BF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must be kept free of obstructions. Doors and latches must be secured in the open</w:t>
      </w:r>
    </w:p>
    <w:p w14:paraId="75CDE787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position and locked so that they cannot accidentally be closed and trap a worker</w:t>
      </w:r>
    </w:p>
    <w:p w14:paraId="77382591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inside the space. All ladders, scaffolds, etc. necessary to gain access/egress to the</w:t>
      </w:r>
    </w:p>
    <w:p w14:paraId="400631DF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work area must be secured.</w:t>
      </w:r>
    </w:p>
    <w:p w14:paraId="48B41E2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lastRenderedPageBreak/>
        <w:t>No entry is allowed if a possibility of a cave-in or shifting material/equipment</w:t>
      </w:r>
    </w:p>
    <w:p w14:paraId="40F514A8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exists where a worker could be buried or trapped.</w:t>
      </w:r>
    </w:p>
    <w:p w14:paraId="1526591C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Rescue - If rescue is necessary (worker injury), workers outside of the space will</w:t>
      </w:r>
    </w:p>
    <w:p w14:paraId="7B35461C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first summon help (phone 911 if life-threatening, project manager if not life</w:t>
      </w:r>
    </w:p>
    <w:p w14:paraId="45CF9031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threatening), then will attempt a physical rescue only if the cause of the injury is</w:t>
      </w:r>
    </w:p>
    <w:p w14:paraId="46DB708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known and conditions in the space will not affect those entering the space (for</w:t>
      </w:r>
    </w:p>
    <w:p w14:paraId="6B79DFBC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proofErr w:type="gramStart"/>
      <w:r w:rsidRPr="00765BF8">
        <w:rPr>
          <w:rFonts w:eastAsiaTheme="minorEastAsia"/>
          <w:sz w:val="21"/>
          <w:szCs w:val="21"/>
        </w:rPr>
        <w:t>example;</w:t>
      </w:r>
      <w:proofErr w:type="gramEnd"/>
      <w:r w:rsidRPr="00765BF8">
        <w:rPr>
          <w:rFonts w:eastAsiaTheme="minorEastAsia"/>
          <w:sz w:val="21"/>
          <w:szCs w:val="21"/>
        </w:rPr>
        <w:t xml:space="preserve"> worker fell and broke leg). No one will enter the space until a nearby</w:t>
      </w:r>
    </w:p>
    <w:p w14:paraId="3D891B92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worker has arrived at the entrance to the space to assist. If, at any time, a worker</w:t>
      </w:r>
    </w:p>
    <w:p w14:paraId="4FF375A6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in the space is unconscious for no recognized reason, no one will enter the space</w:t>
      </w:r>
    </w:p>
    <w:p w14:paraId="49F53154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until emergency crews arrive.</w:t>
      </w:r>
    </w:p>
    <w:p w14:paraId="5E723D0E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Training</w:t>
      </w:r>
    </w:p>
    <w:p w14:paraId="5F9D1E3F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All DELTA SPRINGS staff working in confined spaces will be required to have completed confined</w:t>
      </w:r>
    </w:p>
    <w:p w14:paraId="299E40C3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 xml:space="preserve">space training (recommended </w:t>
      </w:r>
      <w:proofErr w:type="gramStart"/>
      <w:r w:rsidRPr="00765BF8">
        <w:rPr>
          <w:rFonts w:eastAsiaTheme="minorEastAsia"/>
          <w:sz w:val="21"/>
          <w:szCs w:val="21"/>
        </w:rPr>
        <w:t>1 day</w:t>
      </w:r>
      <w:proofErr w:type="gramEnd"/>
      <w:r w:rsidRPr="00765BF8">
        <w:rPr>
          <w:rFonts w:eastAsiaTheme="minorEastAsia"/>
          <w:sz w:val="21"/>
          <w:szCs w:val="21"/>
        </w:rPr>
        <w:t xml:space="preserve"> course), respirator training and fit testing, calibration,</w:t>
      </w:r>
    </w:p>
    <w:p w14:paraId="37274591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sz w:val="21"/>
          <w:szCs w:val="21"/>
        </w:rPr>
        <w:t>use and limitations of the gas tester and use of personal protective equipment.</w:t>
      </w:r>
    </w:p>
    <w:p w14:paraId="78A4A583" w14:textId="77777777" w:rsidR="00765BF8" w:rsidRPr="00765BF8" w:rsidRDefault="00765BF8" w:rsidP="00765BF8">
      <w:pPr>
        <w:spacing w:line="276" w:lineRule="auto"/>
        <w:rPr>
          <w:rFonts w:eastAsiaTheme="minorEastAsia"/>
          <w:sz w:val="21"/>
          <w:szCs w:val="21"/>
        </w:rPr>
      </w:pPr>
      <w:r w:rsidRPr="00765BF8">
        <w:rPr>
          <w:rFonts w:eastAsiaTheme="minorEastAsia"/>
          <w:noProof/>
          <w:sz w:val="21"/>
          <w:szCs w:val="21"/>
        </w:rPr>
        <w:lastRenderedPageBreak/>
        <w:drawing>
          <wp:inline distT="0" distB="0" distL="0" distR="0" wp14:anchorId="5F6E8AA0" wp14:editId="2EC8F5AA">
            <wp:extent cx="5943600" cy="7091045"/>
            <wp:effectExtent l="0" t="0" r="0" b="0"/>
            <wp:docPr id="168260" name="Picture 16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BF8">
        <w:rPr>
          <w:rFonts w:eastAsiaTheme="minorEastAsia"/>
          <w:noProof/>
          <w:sz w:val="21"/>
          <w:szCs w:val="21"/>
        </w:rPr>
        <w:lastRenderedPageBreak/>
        <w:drawing>
          <wp:inline distT="0" distB="0" distL="0" distR="0" wp14:anchorId="6E8556EB" wp14:editId="0C645F40">
            <wp:extent cx="5943600" cy="6601460"/>
            <wp:effectExtent l="0" t="0" r="0" b="8890"/>
            <wp:docPr id="168261" name="Picture 168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2C92A" w14:textId="77777777" w:rsidR="00765BF8" w:rsidRDefault="00765BF8"/>
    <w:sectPr w:rsidR="00765BF8">
      <w:head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C7790" w14:textId="77777777" w:rsidR="00461F22" w:rsidRDefault="00461F22" w:rsidP="00D45CA8">
      <w:pPr>
        <w:spacing w:after="0" w:line="240" w:lineRule="auto"/>
      </w:pPr>
      <w:r>
        <w:separator/>
      </w:r>
    </w:p>
  </w:endnote>
  <w:endnote w:type="continuationSeparator" w:id="0">
    <w:p w14:paraId="075D65DD" w14:textId="77777777" w:rsidR="00461F22" w:rsidRDefault="00461F22" w:rsidP="00D45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84AEA" w14:textId="77777777" w:rsidR="00461F22" w:rsidRDefault="00461F22" w:rsidP="00D45CA8">
      <w:pPr>
        <w:spacing w:after="0" w:line="240" w:lineRule="auto"/>
      </w:pPr>
      <w:r>
        <w:separator/>
      </w:r>
    </w:p>
  </w:footnote>
  <w:footnote w:type="continuationSeparator" w:id="0">
    <w:p w14:paraId="2C867791" w14:textId="77777777" w:rsidR="00461F22" w:rsidRDefault="00461F22" w:rsidP="00D45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782A9" w14:textId="77777777" w:rsidR="00D45CA8" w:rsidRPr="00D45CA8" w:rsidRDefault="00D45CA8" w:rsidP="00D45CA8">
    <w:pPr>
      <w:tabs>
        <w:tab w:val="center" w:pos="4680"/>
        <w:tab w:val="right" w:pos="9360"/>
      </w:tabs>
      <w:spacing w:after="0" w:line="240" w:lineRule="auto"/>
      <w:rPr>
        <w:rFonts w:eastAsiaTheme="minorEastAsia"/>
        <w:sz w:val="21"/>
        <w:szCs w:val="21"/>
      </w:rPr>
    </w:pPr>
    <w:r w:rsidRPr="00D45CA8">
      <w:rPr>
        <w:rFonts w:ascii="Times New Roman" w:eastAsiaTheme="minorEastAsia" w:hAnsi="Times New Roman" w:cs="Times New Roman"/>
        <w:sz w:val="21"/>
        <w:szCs w:val="21"/>
      </w:rPr>
      <w:t xml:space="preserve">Delta Springs Health and Safety Reference Manual </w:t>
    </w:r>
    <w:r w:rsidRPr="00D45CA8">
      <w:rPr>
        <w:rFonts w:eastAsiaTheme="minorEastAsia"/>
        <w:sz w:val="21"/>
        <w:szCs w:val="21"/>
      </w:rPr>
      <w:tab/>
    </w:r>
    <w:r w:rsidRPr="00D45CA8">
      <w:rPr>
        <w:rFonts w:eastAsiaTheme="minorEastAsia"/>
        <w:sz w:val="21"/>
        <w:szCs w:val="21"/>
      </w:rPr>
      <w:tab/>
    </w:r>
    <w:r w:rsidRPr="00D45CA8">
      <w:rPr>
        <w:rFonts w:eastAsiaTheme="minorEastAsia"/>
        <w:sz w:val="21"/>
        <w:szCs w:val="21"/>
      </w:rPr>
      <w:tab/>
      <w:t>2021-06-07</w:t>
    </w:r>
    <w:r w:rsidRPr="00D45CA8">
      <w:rPr>
        <w:rFonts w:eastAsiaTheme="minorEastAsia"/>
        <w:noProof/>
        <w:sz w:val="21"/>
        <w:szCs w:val="21"/>
      </w:rPr>
      <w:drawing>
        <wp:anchor distT="0" distB="0" distL="114300" distR="114300" simplePos="0" relativeHeight="251659264" behindDoc="1" locked="0" layoutInCell="1" allowOverlap="1" wp14:anchorId="372C4D9C" wp14:editId="39AA26B3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14475" cy="657317"/>
          <wp:effectExtent l="0" t="0" r="9525" b="9525"/>
          <wp:wrapTight wrapText="bothSides">
            <wp:wrapPolygon edited="0">
              <wp:start x="0" y="0"/>
              <wp:lineTo x="0" y="21287"/>
              <wp:lineTo x="21312" y="21287"/>
              <wp:lineTo x="21312" y="0"/>
              <wp:lineTo x="0" y="0"/>
            </wp:wrapPolygon>
          </wp:wrapTight>
          <wp:docPr id="18" name="Picture 1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475" cy="657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36F166" w14:textId="77777777" w:rsidR="00D45CA8" w:rsidRPr="00D45CA8" w:rsidRDefault="00D45CA8" w:rsidP="00D45C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CA8"/>
    <w:rsid w:val="00042473"/>
    <w:rsid w:val="00461F22"/>
    <w:rsid w:val="00765BF8"/>
    <w:rsid w:val="00AE2543"/>
    <w:rsid w:val="00D4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2430F"/>
  <w15:chartTrackingRefBased/>
  <w15:docId w15:val="{BA8CFA9C-70F2-4517-AC31-3410A0A32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C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5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CA8"/>
  </w:style>
  <w:style w:type="paragraph" w:styleId="Footer">
    <w:name w:val="footer"/>
    <w:basedOn w:val="Normal"/>
    <w:link w:val="FooterChar"/>
    <w:uiPriority w:val="99"/>
    <w:unhideWhenUsed/>
    <w:rsid w:val="00D45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1253</Words>
  <Characters>7144</Characters>
  <Application>Microsoft Office Word</Application>
  <DocSecurity>0</DocSecurity>
  <Lines>59</Lines>
  <Paragraphs>16</Paragraphs>
  <ScaleCrop>false</ScaleCrop>
  <Company/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Parker</dc:creator>
  <cp:keywords/>
  <dc:description/>
  <cp:lastModifiedBy>Matthew Parker</cp:lastModifiedBy>
  <cp:revision>2</cp:revision>
  <dcterms:created xsi:type="dcterms:W3CDTF">2021-07-05T15:16:00Z</dcterms:created>
  <dcterms:modified xsi:type="dcterms:W3CDTF">2021-07-06T15:24:00Z</dcterms:modified>
</cp:coreProperties>
</file>